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563" w:rsidRPr="00B171F3" w:rsidRDefault="003A7563" w:rsidP="003A7563">
      <w:pPr>
        <w:pStyle w:val="Default"/>
        <w:framePr w:w="9031" w:wrap="auto" w:vAnchor="page" w:hAnchor="page" w:x="1441" w:y="1636"/>
        <w:jc w:val="both"/>
        <w:rPr>
          <w:sz w:val="28"/>
          <w:szCs w:val="23"/>
          <w:lang w:val="ms-MY"/>
        </w:rPr>
      </w:pPr>
      <w:bookmarkStart w:id="0" w:name="_GoBack"/>
      <w:bookmarkEnd w:id="0"/>
      <w:r w:rsidRPr="00B171F3">
        <w:rPr>
          <w:b/>
          <w:bCs/>
          <w:sz w:val="28"/>
          <w:szCs w:val="23"/>
          <w:lang w:val="ms-MY"/>
        </w:rPr>
        <w:t xml:space="preserve">PERINGATAN MENGENAI KESALAHAN RASUAH KEPADA SYARIKAT /KONTRAKTOR /FIRMA PERUNDING/PENJAWAT AWAM ATAU MANA-MANA PIHAK YANG BERKAITAN </w:t>
      </w:r>
    </w:p>
    <w:p w:rsidR="003A7563" w:rsidRPr="003A7563" w:rsidRDefault="003A7563" w:rsidP="003A7563">
      <w:pPr>
        <w:pStyle w:val="Default"/>
        <w:framePr w:w="9046" w:wrap="auto" w:vAnchor="page" w:hAnchor="page" w:x="1426" w:y="3226"/>
        <w:jc w:val="both"/>
        <w:rPr>
          <w:sz w:val="28"/>
          <w:szCs w:val="23"/>
          <w:lang w:val="ms-MY"/>
        </w:rPr>
      </w:pPr>
      <w:r w:rsidRPr="003A7563">
        <w:rPr>
          <w:sz w:val="28"/>
          <w:szCs w:val="23"/>
          <w:lang w:val="ms-MY"/>
        </w:rPr>
        <w:t xml:space="preserve">(i) Sebarang perbuatan atau percubaan rasuah untuk menawar atau memberi, meminta atau menerima apa-apa suapan secara rasuah kepada dan daripada  mana-mana orang berkaitan  perolehan ini merupakan suatu kesalahan jenayah di bawah Akta Suruhanjaya Pencegahan Rasuah Malaysia 2009 (Akta 694). </w:t>
      </w:r>
    </w:p>
    <w:p w:rsidR="00AE5C1E" w:rsidRPr="00B171F3" w:rsidRDefault="00AE5C1E">
      <w:pPr>
        <w:pStyle w:val="Default"/>
        <w:rPr>
          <w:sz w:val="28"/>
          <w:lang w:val="ms-MY"/>
        </w:rPr>
      </w:pPr>
      <w:r w:rsidRPr="00B171F3">
        <w:rPr>
          <w:sz w:val="28"/>
          <w:lang w:val="ms-MY"/>
        </w:rPr>
        <w:t xml:space="preserve"> </w:t>
      </w:r>
    </w:p>
    <w:p w:rsidR="002D7621" w:rsidRPr="00BD71A2" w:rsidRDefault="002D7621" w:rsidP="002D7621">
      <w:pPr>
        <w:pStyle w:val="Default"/>
        <w:framePr w:w="7591" w:wrap="auto" w:vAnchor="page" w:hAnchor="page" w:x="2836" w:y="5131"/>
        <w:jc w:val="both"/>
        <w:rPr>
          <w:sz w:val="28"/>
          <w:szCs w:val="28"/>
          <w:lang w:val="ms-MY"/>
        </w:rPr>
      </w:pPr>
      <w:r w:rsidRPr="00BD71A2">
        <w:rPr>
          <w:i/>
          <w:iCs/>
          <w:sz w:val="28"/>
          <w:szCs w:val="28"/>
          <w:lang w:val="ms-MY"/>
        </w:rPr>
        <w:t xml:space="preserve">Any act or attempt to corruptly offer or give, solicit or receive any gratification to and from any person in connection with this procurement is a criminal offence under the Malaysian Anti-Corruption Commission Act 2009 (Act 694). </w:t>
      </w:r>
    </w:p>
    <w:p w:rsidR="00AE5C1E" w:rsidRPr="00B171F3" w:rsidRDefault="00AE5C1E" w:rsidP="00F27AD7">
      <w:pPr>
        <w:pStyle w:val="Default"/>
        <w:jc w:val="both"/>
        <w:rPr>
          <w:szCs w:val="23"/>
          <w:lang w:val="ms-MY"/>
        </w:rPr>
      </w:pPr>
    </w:p>
    <w:p w:rsidR="00AE5C1E" w:rsidRPr="00B171F3" w:rsidRDefault="00AE5C1E" w:rsidP="00F27AD7">
      <w:pPr>
        <w:pStyle w:val="Default"/>
        <w:framePr w:w="790" w:wrap="auto" w:vAnchor="page" w:hAnchor="page" w:x="1441" w:y="3940"/>
        <w:jc w:val="both"/>
        <w:rPr>
          <w:szCs w:val="23"/>
          <w:lang w:val="ms-MY"/>
        </w:rPr>
      </w:pPr>
      <w:r w:rsidRPr="00B171F3">
        <w:rPr>
          <w:i/>
          <w:iCs/>
          <w:szCs w:val="23"/>
          <w:lang w:val="ms-MY"/>
        </w:rPr>
        <w:t xml:space="preserve"> </w:t>
      </w:r>
    </w:p>
    <w:p w:rsidR="00AE5C1E" w:rsidRPr="00B171F3" w:rsidRDefault="00AE5C1E" w:rsidP="00F27AD7">
      <w:pPr>
        <w:pStyle w:val="Default"/>
        <w:jc w:val="both"/>
        <w:rPr>
          <w:szCs w:val="23"/>
          <w:lang w:val="ms-MY"/>
        </w:rPr>
      </w:pPr>
    </w:p>
    <w:p w:rsidR="00AE5C1E" w:rsidRPr="00B171F3" w:rsidRDefault="00AE5C1E" w:rsidP="00F27AD7">
      <w:pPr>
        <w:pStyle w:val="Default"/>
        <w:framePr w:w="790" w:wrap="auto" w:vAnchor="page" w:hAnchor="page" w:x="1441" w:y="6976"/>
        <w:jc w:val="both"/>
        <w:rPr>
          <w:szCs w:val="23"/>
          <w:lang w:val="ms-MY"/>
        </w:rPr>
      </w:pPr>
      <w:r w:rsidRPr="00B171F3">
        <w:rPr>
          <w:i/>
          <w:iCs/>
          <w:szCs w:val="23"/>
          <w:lang w:val="ms-MY"/>
        </w:rPr>
        <w:t xml:space="preserve"> </w:t>
      </w:r>
    </w:p>
    <w:p w:rsidR="00AE5C1E" w:rsidRPr="00B171F3" w:rsidRDefault="00AE5C1E" w:rsidP="00F27AD7">
      <w:pPr>
        <w:pStyle w:val="Default"/>
        <w:framePr w:w="790" w:wrap="auto" w:vAnchor="page" w:hAnchor="page" w:x="1441" w:y="8633"/>
        <w:jc w:val="both"/>
        <w:rPr>
          <w:szCs w:val="23"/>
          <w:lang w:val="ms-MY"/>
        </w:rPr>
      </w:pPr>
      <w:r w:rsidRPr="00B171F3">
        <w:rPr>
          <w:i/>
          <w:iCs/>
          <w:szCs w:val="23"/>
          <w:lang w:val="ms-MY"/>
        </w:rPr>
        <w:t xml:space="preserve"> </w:t>
      </w:r>
    </w:p>
    <w:p w:rsidR="00BD71A2" w:rsidRPr="00BD71A2" w:rsidRDefault="00BD71A2" w:rsidP="002D7621">
      <w:pPr>
        <w:pStyle w:val="Default"/>
        <w:framePr w:w="9136" w:wrap="auto" w:vAnchor="page" w:hAnchor="page" w:x="1381" w:y="6706"/>
        <w:jc w:val="both"/>
        <w:rPr>
          <w:sz w:val="28"/>
          <w:szCs w:val="23"/>
          <w:lang w:val="ms-MY"/>
        </w:rPr>
      </w:pPr>
      <w:r w:rsidRPr="00BD71A2">
        <w:rPr>
          <w:sz w:val="28"/>
          <w:szCs w:val="23"/>
          <w:lang w:val="ms-MY"/>
        </w:rPr>
        <w:t xml:space="preserve">(ii) Sekiranya mana-mana pihak ada menawar atau memberi apa-apa suapan kepada mana-mana anggota pentadbiran awam, maka pihak yang ditawar atau diberi suapan dikehendaki membuat aduan dengan segera ke pejabat Suruhanjaya Pencegahan Rasuah Malaysia atau balai polis yang berhampiran. Kegagalan berbuat demikian adalah merupakan suatu kesalahan di bawah Akta Suruhanjaya Pencegahan Rasuah Malaysia 2009 (Akta 694). </w:t>
      </w:r>
    </w:p>
    <w:p w:rsidR="00AE5C1E" w:rsidRPr="00B171F3" w:rsidRDefault="00AE5C1E" w:rsidP="00F27AD7">
      <w:pPr>
        <w:pStyle w:val="Default"/>
        <w:jc w:val="both"/>
        <w:rPr>
          <w:szCs w:val="23"/>
          <w:lang w:val="ms-MY"/>
        </w:rPr>
      </w:pPr>
    </w:p>
    <w:p w:rsidR="00AE5C1E" w:rsidRPr="00B171F3" w:rsidRDefault="00AE5C1E" w:rsidP="00F27AD7">
      <w:pPr>
        <w:pStyle w:val="Default"/>
        <w:framePr w:w="790" w:wrap="auto" w:vAnchor="page" w:hAnchor="page" w:x="1441" w:y="10013"/>
        <w:jc w:val="both"/>
        <w:rPr>
          <w:szCs w:val="23"/>
          <w:lang w:val="ms-MY"/>
        </w:rPr>
      </w:pPr>
      <w:r w:rsidRPr="00B171F3">
        <w:rPr>
          <w:i/>
          <w:iCs/>
          <w:szCs w:val="23"/>
          <w:lang w:val="ms-MY"/>
        </w:rPr>
        <w:t xml:space="preserve"> </w:t>
      </w:r>
    </w:p>
    <w:p w:rsidR="00AE5C1E" w:rsidRPr="00B171F3" w:rsidRDefault="00AE5C1E" w:rsidP="00F27AD7">
      <w:pPr>
        <w:pStyle w:val="Default"/>
        <w:framePr w:w="790" w:wrap="auto" w:vAnchor="page" w:hAnchor="page" w:x="1441" w:y="11393"/>
        <w:jc w:val="both"/>
        <w:rPr>
          <w:szCs w:val="23"/>
          <w:lang w:val="ms-MY"/>
        </w:rPr>
      </w:pPr>
      <w:r w:rsidRPr="00B171F3">
        <w:rPr>
          <w:i/>
          <w:iCs/>
          <w:szCs w:val="23"/>
          <w:lang w:val="ms-MY"/>
        </w:rPr>
        <w:t xml:space="preserve"> </w:t>
      </w:r>
    </w:p>
    <w:p w:rsidR="002D7621" w:rsidRPr="007D7B86" w:rsidRDefault="002D7621" w:rsidP="00C62C00">
      <w:pPr>
        <w:pStyle w:val="Default"/>
        <w:framePr w:w="7756" w:wrap="auto" w:vAnchor="page" w:hAnchor="page" w:x="2701" w:y="9316"/>
        <w:jc w:val="both"/>
        <w:rPr>
          <w:sz w:val="28"/>
          <w:szCs w:val="23"/>
          <w:lang w:val="ms-MY"/>
        </w:rPr>
      </w:pPr>
      <w:r w:rsidRPr="007D7B86">
        <w:rPr>
          <w:i/>
          <w:iCs/>
          <w:sz w:val="28"/>
          <w:szCs w:val="23"/>
          <w:lang w:val="ms-MY"/>
        </w:rPr>
        <w:t xml:space="preserve">If any person offers or gives any gratification to any members of the public service, the latter shall at the earliest opportunity thereafter lodge a report at the nearest office of the Malaysian Anti-Corruption Commission or police station. Failure to do so is an offence under the Malaysian Anti-Corruption Commission Act 2009 (Act 694). </w:t>
      </w:r>
    </w:p>
    <w:p w:rsidR="00D519CA" w:rsidRPr="00D519CA" w:rsidRDefault="00D519CA" w:rsidP="00D519CA">
      <w:pPr>
        <w:pStyle w:val="Default"/>
        <w:framePr w:w="7846" w:wrap="auto" w:vAnchor="page" w:hAnchor="page" w:x="2536" w:y="13606"/>
        <w:jc w:val="both"/>
        <w:rPr>
          <w:sz w:val="28"/>
          <w:szCs w:val="23"/>
          <w:lang w:val="ms-MY"/>
        </w:rPr>
      </w:pPr>
      <w:r w:rsidRPr="00D519CA">
        <w:rPr>
          <w:i/>
          <w:iCs/>
          <w:sz w:val="28"/>
          <w:szCs w:val="23"/>
          <w:lang w:val="ms-MY"/>
        </w:rPr>
        <w:t xml:space="preserve">Without prejudice to any other actions, disciplinary action against a member of the public service and blacklisting of the contractor or supplier may be taken if the parties are involved with any act of corruption under the Malaysian Anti-Corruption Commission Act 2009 (Act 694). </w:t>
      </w:r>
    </w:p>
    <w:p w:rsidR="00D519CA" w:rsidRPr="00B0389A" w:rsidRDefault="00D519CA" w:rsidP="00D519CA">
      <w:pPr>
        <w:pStyle w:val="Default"/>
        <w:framePr w:w="9181" w:wrap="auto" w:vAnchor="page" w:hAnchor="page" w:x="1261" w:y="11581"/>
        <w:jc w:val="both"/>
        <w:rPr>
          <w:sz w:val="28"/>
          <w:szCs w:val="23"/>
          <w:lang w:val="ms-MY"/>
        </w:rPr>
      </w:pPr>
      <w:r w:rsidRPr="00B0389A">
        <w:rPr>
          <w:sz w:val="28"/>
          <w:szCs w:val="23"/>
          <w:lang w:val="ms-MY"/>
        </w:rPr>
        <w:t xml:space="preserve">(iii) Tanpa prejudis kepada tindakan-tindakan lain, tindakan tatatertib terhadap anggota perkhidmatan awam dan menyenaraihitamkan kontraktor atau pembekal boleh diambil sekiranya pihak-pihak terlibat dengan kesalahan rasuah di bawah Akta Suruhanjaya Pencegahan Rasuah Malaysia 2009 (Akta 694). </w:t>
      </w:r>
    </w:p>
    <w:p w:rsidR="002D7621" w:rsidRDefault="002D7621" w:rsidP="00F27AD7">
      <w:pPr>
        <w:pStyle w:val="Default"/>
        <w:jc w:val="both"/>
        <w:rPr>
          <w:szCs w:val="23"/>
          <w:lang w:val="ms-MY"/>
        </w:rPr>
      </w:pPr>
    </w:p>
    <w:p w:rsidR="003A7274" w:rsidRPr="003A7274" w:rsidRDefault="003A7274" w:rsidP="003A7274">
      <w:pPr>
        <w:pStyle w:val="Default"/>
        <w:framePr w:w="9001" w:wrap="auto" w:vAnchor="page" w:hAnchor="page" w:x="1396" w:y="1576"/>
        <w:jc w:val="both"/>
        <w:rPr>
          <w:sz w:val="28"/>
          <w:szCs w:val="23"/>
          <w:lang w:val="ms-MY"/>
        </w:rPr>
      </w:pPr>
      <w:r w:rsidRPr="003A7274">
        <w:rPr>
          <w:sz w:val="28"/>
          <w:szCs w:val="23"/>
          <w:lang w:val="ms-MY"/>
        </w:rPr>
        <w:lastRenderedPageBreak/>
        <w:t xml:space="preserve">(iv) Mana-mana kontraktor atau pembekal yang membuat tuntutan bayaran berkaitan  perolehan ini walaupun tiada kerja dibuat atau tiada barangan dibekal mengikut spesifikasi yang ditetapkan atau tiada perkhidmatan diberi dan mana-mana anggota perkhidmatan awam yang mengesahkan tuntutan berkenaan adalah melakukan  kesalahan di bawah Akta Suruhanjaya Pencegahan Rasuah Malaysia 2009 (Akta 694). </w:t>
      </w:r>
    </w:p>
    <w:p w:rsidR="00B35CF1" w:rsidRPr="00B35CF1" w:rsidRDefault="00B35CF1" w:rsidP="00B35CF1">
      <w:pPr>
        <w:pStyle w:val="Default"/>
        <w:framePr w:w="7831" w:wrap="auto" w:vAnchor="page" w:hAnchor="page" w:x="2641" w:y="4186"/>
        <w:jc w:val="both"/>
        <w:rPr>
          <w:sz w:val="28"/>
          <w:szCs w:val="23"/>
          <w:lang w:val="ms-MY"/>
        </w:rPr>
      </w:pPr>
      <w:r w:rsidRPr="00B35CF1">
        <w:rPr>
          <w:i/>
          <w:iCs/>
          <w:sz w:val="28"/>
          <w:szCs w:val="23"/>
          <w:lang w:val="ms-MY"/>
        </w:rPr>
        <w:t>Any contractor or supplier who makes a claim for payment in relation to this procurement although no work was carried out or no goods were supplied or n</w:t>
      </w:r>
      <w:r>
        <w:rPr>
          <w:i/>
          <w:iCs/>
          <w:sz w:val="28"/>
          <w:szCs w:val="23"/>
          <w:lang w:val="ms-MY"/>
        </w:rPr>
        <w:t xml:space="preserve">o </w:t>
      </w:r>
      <w:r w:rsidRPr="00B35CF1">
        <w:rPr>
          <w:i/>
          <w:iCs/>
          <w:sz w:val="28"/>
          <w:szCs w:val="23"/>
          <w:lang w:val="ms-MY"/>
        </w:rPr>
        <w:t>services rendered in accordance with the specifications and any member of the public service who certifies the claim commits an offence under the Malaysian Anti- Corruption Commission Act 2009 (Act 694).</w:t>
      </w:r>
    </w:p>
    <w:p w:rsidR="002D7621" w:rsidRPr="002D7621" w:rsidRDefault="002D7621" w:rsidP="002D7621">
      <w:pPr>
        <w:rPr>
          <w:lang w:val="ms-MY"/>
        </w:rPr>
      </w:pPr>
    </w:p>
    <w:p w:rsidR="002D7621" w:rsidRPr="002D7621" w:rsidRDefault="002D7621" w:rsidP="002D7621">
      <w:pPr>
        <w:tabs>
          <w:tab w:val="left" w:pos="5925"/>
        </w:tabs>
        <w:rPr>
          <w:lang w:val="ms-MY"/>
        </w:rPr>
      </w:pPr>
      <w:r>
        <w:rPr>
          <w:lang w:val="ms-MY"/>
        </w:rPr>
        <w:tab/>
      </w:r>
    </w:p>
    <w:p w:rsidR="002D7621" w:rsidRPr="002D7621" w:rsidRDefault="002D7621" w:rsidP="002D7621">
      <w:pPr>
        <w:rPr>
          <w:lang w:val="ms-MY"/>
        </w:rPr>
      </w:pPr>
    </w:p>
    <w:p w:rsidR="002D7621" w:rsidRPr="002D7621" w:rsidRDefault="002D7621" w:rsidP="002D7621">
      <w:pPr>
        <w:rPr>
          <w:lang w:val="ms-MY"/>
        </w:rPr>
      </w:pPr>
    </w:p>
    <w:p w:rsidR="002D7621" w:rsidRPr="002D7621" w:rsidRDefault="002D7621" w:rsidP="00B35CF1">
      <w:pPr>
        <w:jc w:val="center"/>
        <w:rPr>
          <w:lang w:val="ms-MY"/>
        </w:rPr>
      </w:pPr>
    </w:p>
    <w:p w:rsidR="00AE5C1E" w:rsidRPr="002D7621" w:rsidRDefault="00AE5C1E" w:rsidP="002D7621">
      <w:pPr>
        <w:rPr>
          <w:lang w:val="ms-MY"/>
        </w:rPr>
      </w:pPr>
    </w:p>
    <w:p w:rsidR="007D7B86" w:rsidRDefault="007D7B86" w:rsidP="00F27AD7">
      <w:pPr>
        <w:pStyle w:val="Default"/>
        <w:jc w:val="both"/>
        <w:rPr>
          <w:szCs w:val="23"/>
          <w:lang w:val="ms-MY"/>
        </w:rPr>
      </w:pPr>
    </w:p>
    <w:p w:rsidR="007D7B86" w:rsidRPr="00B171F3" w:rsidRDefault="007D7B86" w:rsidP="00F27AD7">
      <w:pPr>
        <w:pStyle w:val="Default"/>
        <w:jc w:val="both"/>
        <w:rPr>
          <w:szCs w:val="23"/>
          <w:lang w:val="ms-MY"/>
        </w:rPr>
      </w:pPr>
    </w:p>
    <w:p w:rsidR="00AE5C1E" w:rsidRPr="00B171F3" w:rsidRDefault="00AE5C1E" w:rsidP="00F27AD7">
      <w:pPr>
        <w:pStyle w:val="Default"/>
        <w:framePr w:w="790" w:wrap="auto" w:vAnchor="page" w:hAnchor="page" w:x="1441" w:y="13325"/>
        <w:jc w:val="both"/>
        <w:rPr>
          <w:szCs w:val="23"/>
          <w:lang w:val="ms-MY"/>
        </w:rPr>
      </w:pPr>
      <w:r w:rsidRPr="00B171F3">
        <w:rPr>
          <w:i/>
          <w:iCs/>
          <w:szCs w:val="23"/>
          <w:lang w:val="ms-MY"/>
        </w:rPr>
        <w:t xml:space="preserve"> </w:t>
      </w:r>
    </w:p>
    <w:p w:rsidR="00AE5C1E" w:rsidRPr="00B171F3" w:rsidRDefault="00AE5C1E">
      <w:pPr>
        <w:pStyle w:val="Default"/>
        <w:framePr w:w="791" w:wrap="auto" w:vAnchor="page" w:hAnchor="page" w:x="1441" w:y="2315"/>
        <w:rPr>
          <w:sz w:val="28"/>
          <w:lang w:val="ms-MY"/>
        </w:rPr>
      </w:pPr>
      <w:r w:rsidRPr="00B171F3">
        <w:rPr>
          <w:szCs w:val="23"/>
          <w:lang w:val="ms-MY"/>
        </w:rPr>
        <w:t xml:space="preserve"> </w:t>
      </w:r>
    </w:p>
    <w:sectPr w:rsidR="00AE5C1E" w:rsidRPr="00B171F3" w:rsidSect="00C16804">
      <w:headerReference w:type="default" r:id="rId9"/>
      <w:footerReference w:type="default" r:id="rId10"/>
      <w:pgSz w:w="11907" w:h="16839"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2E1" w:rsidRDefault="000742E1" w:rsidP="00C16804">
      <w:pPr>
        <w:spacing w:after="0" w:line="240" w:lineRule="auto"/>
      </w:pPr>
      <w:r>
        <w:separator/>
      </w:r>
    </w:p>
  </w:endnote>
  <w:endnote w:type="continuationSeparator" w:id="0">
    <w:p w:rsidR="000742E1" w:rsidRDefault="000742E1" w:rsidP="00C168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804" w:rsidRPr="00C16804" w:rsidRDefault="00C16804" w:rsidP="00C16804">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after="0" w:line="240" w:lineRule="auto"/>
      <w:ind w:left="12960" w:hanging="12960"/>
      <w:rPr>
        <w:rFonts w:ascii="Arial" w:hAnsi="Arial" w:cs="Arial"/>
        <w:sz w:val="24"/>
        <w:lang w:val="sv-SE" w:bidi="en-US"/>
      </w:rPr>
    </w:pPr>
    <w:r w:rsidRPr="00C16804">
      <w:rPr>
        <w:rFonts w:ascii="Arial" w:hAnsi="Arial" w:cs="Arial"/>
        <w:sz w:val="24"/>
        <w:lang w:val="sv-SE" w:bidi="en-US"/>
      </w:rPr>
      <w:tab/>
    </w:r>
    <w:r w:rsidRPr="00C16804">
      <w:rPr>
        <w:rFonts w:ascii="Arial" w:hAnsi="Arial" w:cs="Arial"/>
        <w:sz w:val="24"/>
        <w:lang w:val="sv-SE" w:bidi="en-US"/>
      </w:rPr>
      <w:tab/>
    </w:r>
    <w:r w:rsidRPr="00C16804">
      <w:rPr>
        <w:rFonts w:ascii="Arial" w:hAnsi="Arial" w:cs="Arial"/>
        <w:sz w:val="24"/>
        <w:lang w:val="sv-SE" w:bidi="en-US"/>
      </w:rPr>
      <w:tab/>
    </w:r>
    <w:r w:rsidRPr="00C16804">
      <w:rPr>
        <w:rFonts w:ascii="Arial" w:hAnsi="Arial" w:cs="Arial"/>
        <w:sz w:val="24"/>
        <w:lang w:val="sv-SE" w:bidi="en-US"/>
      </w:rPr>
      <w:tab/>
    </w:r>
    <w:r w:rsidRPr="00C16804">
      <w:rPr>
        <w:rFonts w:ascii="Arial" w:hAnsi="Arial" w:cs="Arial"/>
        <w:sz w:val="24"/>
        <w:lang w:val="sv-SE" w:bidi="en-US"/>
      </w:rPr>
      <w:tab/>
    </w:r>
    <w:r w:rsidRPr="00C16804">
      <w:rPr>
        <w:rFonts w:ascii="Arial" w:hAnsi="Arial" w:cs="Arial"/>
        <w:sz w:val="24"/>
        <w:lang w:val="sv-SE" w:bidi="en-US"/>
      </w:rPr>
      <w:tab/>
    </w:r>
    <w:r w:rsidRPr="00C16804">
      <w:rPr>
        <w:rFonts w:ascii="Arial" w:hAnsi="Arial" w:cs="Arial"/>
        <w:sz w:val="24"/>
        <w:lang w:val="sv-SE" w:bidi="en-US"/>
      </w:rPr>
      <w:tab/>
    </w:r>
    <w:r w:rsidRPr="00C16804">
      <w:rPr>
        <w:rFonts w:ascii="Arial" w:hAnsi="Arial" w:cs="Arial"/>
        <w:sz w:val="24"/>
        <w:lang w:val="sv-SE" w:bidi="en-US"/>
      </w:rPr>
      <w:tab/>
      <w:t xml:space="preserve">    ms </w:t>
    </w:r>
    <w:r w:rsidR="00196FEA" w:rsidRPr="00C16804">
      <w:rPr>
        <w:rFonts w:ascii="Arial" w:hAnsi="Arial" w:cs="Arial"/>
        <w:sz w:val="24"/>
        <w:lang w:bidi="en-US"/>
      </w:rPr>
      <w:fldChar w:fldCharType="begin"/>
    </w:r>
    <w:r w:rsidRPr="00C16804">
      <w:rPr>
        <w:rFonts w:ascii="Arial" w:hAnsi="Arial" w:cs="Arial"/>
        <w:sz w:val="24"/>
        <w:lang w:val="sv-SE" w:bidi="en-US"/>
      </w:rPr>
      <w:instrText xml:space="preserve"> PAGE </w:instrText>
    </w:r>
    <w:r w:rsidR="00196FEA" w:rsidRPr="00C16804">
      <w:rPr>
        <w:rFonts w:ascii="Arial" w:hAnsi="Arial" w:cs="Arial"/>
        <w:sz w:val="24"/>
        <w:lang w:bidi="en-US"/>
      </w:rPr>
      <w:fldChar w:fldCharType="separate"/>
    </w:r>
    <w:r w:rsidR="00295C8C">
      <w:rPr>
        <w:rFonts w:ascii="Arial" w:hAnsi="Arial" w:cs="Arial"/>
        <w:noProof/>
        <w:sz w:val="24"/>
        <w:lang w:val="sv-SE" w:bidi="en-US"/>
      </w:rPr>
      <w:t>1</w:t>
    </w:r>
    <w:r w:rsidR="00196FEA" w:rsidRPr="00C16804">
      <w:rPr>
        <w:rFonts w:ascii="Arial" w:hAnsi="Arial" w:cs="Arial"/>
        <w:sz w:val="24"/>
        <w:lang w:bidi="en-US"/>
      </w:rPr>
      <w:fldChar w:fldCharType="end"/>
    </w:r>
    <w:r w:rsidRPr="00C16804">
      <w:rPr>
        <w:rFonts w:ascii="Arial" w:hAnsi="Arial" w:cs="Arial"/>
        <w:sz w:val="24"/>
        <w:lang w:val="sv-SE" w:bidi="en-US"/>
      </w:rPr>
      <w:t>/</w:t>
    </w:r>
    <w:r w:rsidR="00196FEA" w:rsidRPr="00C16804">
      <w:rPr>
        <w:rFonts w:ascii="Arial" w:hAnsi="Arial" w:cs="Arial"/>
        <w:sz w:val="24"/>
        <w:lang w:bidi="en-US"/>
      </w:rPr>
      <w:fldChar w:fldCharType="begin"/>
    </w:r>
    <w:r w:rsidRPr="00C16804">
      <w:rPr>
        <w:rFonts w:ascii="Arial" w:hAnsi="Arial" w:cs="Arial"/>
        <w:sz w:val="24"/>
        <w:lang w:val="sv-SE" w:bidi="en-US"/>
      </w:rPr>
      <w:instrText xml:space="preserve"> NUMPAGES </w:instrText>
    </w:r>
    <w:r w:rsidR="00196FEA" w:rsidRPr="00C16804">
      <w:rPr>
        <w:rFonts w:ascii="Arial" w:hAnsi="Arial" w:cs="Arial"/>
        <w:sz w:val="24"/>
        <w:lang w:bidi="en-US"/>
      </w:rPr>
      <w:fldChar w:fldCharType="separate"/>
    </w:r>
    <w:r w:rsidR="00295C8C">
      <w:rPr>
        <w:rFonts w:ascii="Arial" w:hAnsi="Arial" w:cs="Arial"/>
        <w:noProof/>
        <w:sz w:val="24"/>
        <w:lang w:val="sv-SE" w:bidi="en-US"/>
      </w:rPr>
      <w:t>2</w:t>
    </w:r>
    <w:r w:rsidR="00196FEA" w:rsidRPr="00C16804">
      <w:rPr>
        <w:rFonts w:ascii="Arial" w:hAnsi="Arial" w:cs="Arial"/>
        <w:sz w:val="24"/>
        <w:lang w:bidi="en-US"/>
      </w:rPr>
      <w:fldChar w:fldCharType="end"/>
    </w:r>
  </w:p>
  <w:p w:rsidR="00C16804" w:rsidRPr="00C16804" w:rsidRDefault="00C16804" w:rsidP="00C16804">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after="0" w:line="240" w:lineRule="auto"/>
      <w:rPr>
        <w:rFonts w:ascii="Arial" w:hAnsi="Arial" w:cs="Arial"/>
        <w:sz w:val="24"/>
        <w:lang w:bidi="en-US"/>
      </w:rPr>
    </w:pPr>
    <w:r w:rsidRPr="00C16804">
      <w:rPr>
        <w:rFonts w:ascii="Arial" w:hAnsi="Arial" w:cs="Arial"/>
        <w:sz w:val="24"/>
        <w:lang w:bidi="en-US"/>
      </w:rPr>
      <w:t xml:space="preserve">                                                                  </w:t>
    </w:r>
    <w:r w:rsidRPr="00C16804">
      <w:rPr>
        <w:rFonts w:ascii="Arial" w:hAnsi="Arial" w:cs="Arial"/>
        <w:sz w:val="24"/>
        <w:lang w:bidi="en-US"/>
      </w:rPr>
      <w:tab/>
    </w:r>
    <w:r w:rsidRPr="00C16804">
      <w:rPr>
        <w:rFonts w:ascii="Arial" w:hAnsi="Arial" w:cs="Arial"/>
        <w:sz w:val="24"/>
        <w:lang w:bidi="en-US"/>
      </w:rPr>
      <w:tab/>
    </w:r>
    <w:r w:rsidRPr="00C16804">
      <w:rPr>
        <w:rFonts w:ascii="Arial" w:hAnsi="Arial" w:cs="Arial"/>
        <w:sz w:val="24"/>
        <w:lang w:bidi="en-US"/>
      </w:rPr>
      <w:tab/>
    </w:r>
    <w:r w:rsidRPr="00C16804">
      <w:rPr>
        <w:rFonts w:ascii="Arial" w:hAnsi="Arial" w:cs="Arial"/>
        <w:sz w:val="24"/>
        <w:lang w:bidi="en-US"/>
      </w:rPr>
      <w:tab/>
    </w:r>
    <w:r w:rsidRPr="00C16804">
      <w:rPr>
        <w:rFonts w:ascii="Arial" w:hAnsi="Arial" w:cs="Arial"/>
        <w:sz w:val="24"/>
        <w:lang w:bidi="en-US"/>
      </w:rPr>
      <w:tab/>
    </w:r>
    <w:r w:rsidRPr="00C16804">
      <w:rPr>
        <w:rFonts w:ascii="Arial" w:hAnsi="Arial" w:cs="Arial"/>
        <w:sz w:val="24"/>
        <w:lang w:bidi="en-US"/>
      </w:rPr>
      <w:tab/>
      <w:t xml:space="preserve">              </w:t>
    </w:r>
    <w:r w:rsidRPr="00C16804">
      <w:rPr>
        <w:rFonts w:ascii="Arial" w:hAnsi="Arial" w:cs="Arial"/>
        <w:b/>
        <w:sz w:val="24"/>
        <w:lang w:bidi="en-US"/>
      </w:rPr>
      <w:t>SULIT</w:t>
    </w:r>
    <w:r w:rsidRPr="00C16804">
      <w:rPr>
        <w:rFonts w:ascii="Arial" w:hAnsi="Arial"/>
        <w:sz w:val="20"/>
        <w:szCs w:val="20"/>
        <w:lang w:bidi="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2E1" w:rsidRDefault="000742E1" w:rsidP="00C16804">
      <w:pPr>
        <w:spacing w:after="0" w:line="240" w:lineRule="auto"/>
      </w:pPr>
      <w:r>
        <w:separator/>
      </w:r>
    </w:p>
  </w:footnote>
  <w:footnote w:type="continuationSeparator" w:id="0">
    <w:p w:rsidR="000742E1" w:rsidRDefault="000742E1" w:rsidP="00C168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804" w:rsidRPr="00C16804" w:rsidRDefault="00C16804" w:rsidP="00C16804">
    <w:pPr>
      <w:pBdr>
        <w:bottom w:val="single" w:sz="4" w:space="1" w:color="auto"/>
      </w:pBdr>
      <w:tabs>
        <w:tab w:val="center" w:pos="4320"/>
        <w:tab w:val="right" w:pos="8640"/>
      </w:tabs>
      <w:spacing w:after="0" w:line="240" w:lineRule="auto"/>
      <w:rPr>
        <w:rFonts w:ascii="Arial" w:hAnsi="Arial" w:cs="Arial"/>
        <w:b/>
        <w:sz w:val="24"/>
        <w:szCs w:val="24"/>
      </w:rPr>
    </w:pPr>
    <w:r w:rsidRPr="00C16804">
      <w:rPr>
        <w:rFonts w:ascii="Arial" w:hAnsi="Arial" w:cs="Arial"/>
        <w:b/>
        <w:sz w:val="24"/>
        <w:szCs w:val="24"/>
      </w:rPr>
      <w:t xml:space="preserve">SULIT </w:t>
    </w:r>
    <w:r w:rsidRPr="00C16804">
      <w:rPr>
        <w:rFonts w:ascii="Arial" w:hAnsi="Arial" w:cs="Arial"/>
        <w:b/>
        <w:sz w:val="24"/>
        <w:szCs w:val="24"/>
      </w:rPr>
      <w:tab/>
    </w:r>
    <w:r w:rsidRPr="00C16804">
      <w:rPr>
        <w:rFonts w:ascii="Arial" w:hAnsi="Arial" w:cs="Arial"/>
        <w:b/>
        <w:sz w:val="24"/>
        <w:szCs w:val="24"/>
      </w:rPr>
      <w:tab/>
    </w:r>
    <w:r w:rsidRPr="00C16804">
      <w:rPr>
        <w:rFonts w:ascii="Arial" w:hAnsi="Arial"/>
        <w:sz w:val="24"/>
        <w:szCs w:val="24"/>
        <w:lang w:val="sv-SE"/>
      </w:rPr>
      <w:t xml:space="preserve">            </w:t>
    </w:r>
    <w:r w:rsidR="00196E9D">
      <w:rPr>
        <w:rFonts w:ascii="Arial" w:hAnsi="Arial"/>
        <w:sz w:val="24"/>
        <w:szCs w:val="24"/>
        <w:lang w:val="sv-SE"/>
      </w:rPr>
      <w:t xml:space="preserve">                               </w:t>
    </w:r>
    <w:r>
      <w:rPr>
        <w:rFonts w:ascii="Arial" w:hAnsi="Arial"/>
        <w:sz w:val="24"/>
        <w:szCs w:val="24"/>
        <w:lang w:val="sv-SE"/>
      </w:rPr>
      <w:t xml:space="preserve"> </w:t>
    </w:r>
    <w:r w:rsidR="00841233">
      <w:rPr>
        <w:rFonts w:ascii="Arial" w:hAnsi="Arial" w:cs="Arial"/>
        <w:b/>
        <w:sz w:val="24"/>
        <w:szCs w:val="24"/>
      </w:rPr>
      <w:t>LAMPIRAN C</w:t>
    </w:r>
    <w:r w:rsidR="00196E9D">
      <w:rPr>
        <w:rFonts w:ascii="Arial" w:hAnsi="Arial" w:cs="Arial"/>
        <w:b/>
        <w:sz w:val="24"/>
        <w:szCs w:val="24"/>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B54406"/>
    <w:multiLevelType w:val="hybridMultilevel"/>
    <w:tmpl w:val="0DC6540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80970B4"/>
    <w:multiLevelType w:val="hybridMultilevel"/>
    <w:tmpl w:val="8360D02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32887E4F"/>
    <w:multiLevelType w:val="hybridMultilevel"/>
    <w:tmpl w:val="3E6BC69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402AF585"/>
    <w:multiLevelType w:val="hybridMultilevel"/>
    <w:tmpl w:val="C226C1B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D0D"/>
    <w:rsid w:val="00000749"/>
    <w:rsid w:val="000742E1"/>
    <w:rsid w:val="000F0C76"/>
    <w:rsid w:val="00151A9B"/>
    <w:rsid w:val="00196E9D"/>
    <w:rsid w:val="00196FEA"/>
    <w:rsid w:val="00214D0D"/>
    <w:rsid w:val="00257368"/>
    <w:rsid w:val="002748B1"/>
    <w:rsid w:val="00295C8C"/>
    <w:rsid w:val="002D7621"/>
    <w:rsid w:val="003A7274"/>
    <w:rsid w:val="003A7563"/>
    <w:rsid w:val="003D1930"/>
    <w:rsid w:val="0044488F"/>
    <w:rsid w:val="00623BAA"/>
    <w:rsid w:val="00645127"/>
    <w:rsid w:val="006E55A0"/>
    <w:rsid w:val="007D7B86"/>
    <w:rsid w:val="00832C2D"/>
    <w:rsid w:val="00841233"/>
    <w:rsid w:val="009573D8"/>
    <w:rsid w:val="009939CE"/>
    <w:rsid w:val="00A50B04"/>
    <w:rsid w:val="00A61C9D"/>
    <w:rsid w:val="00AE5C1E"/>
    <w:rsid w:val="00B0389A"/>
    <w:rsid w:val="00B171F3"/>
    <w:rsid w:val="00B35CF1"/>
    <w:rsid w:val="00BD71A2"/>
    <w:rsid w:val="00C16804"/>
    <w:rsid w:val="00C218BB"/>
    <w:rsid w:val="00C62C00"/>
    <w:rsid w:val="00D31578"/>
    <w:rsid w:val="00D519CA"/>
    <w:rsid w:val="00D67FCE"/>
    <w:rsid w:val="00EE4E4B"/>
    <w:rsid w:val="00F27AD7"/>
    <w:rsid w:val="00FE5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96FEA"/>
    <w:pPr>
      <w:widowControl w:val="0"/>
      <w:autoSpaceDE w:val="0"/>
      <w:autoSpaceDN w:val="0"/>
      <w:adjustRightInd w:val="0"/>
    </w:pPr>
    <w:rPr>
      <w:rFonts w:ascii="Arial" w:hAnsi="Arial" w:cs="Arial"/>
      <w:color w:val="000000"/>
      <w:sz w:val="24"/>
      <w:szCs w:val="24"/>
    </w:rPr>
  </w:style>
  <w:style w:type="paragraph" w:styleId="Header">
    <w:name w:val="header"/>
    <w:basedOn w:val="Normal"/>
    <w:link w:val="HeaderChar"/>
    <w:unhideWhenUsed/>
    <w:rsid w:val="00C16804"/>
    <w:pPr>
      <w:tabs>
        <w:tab w:val="center" w:pos="4680"/>
        <w:tab w:val="right" w:pos="9360"/>
      </w:tabs>
    </w:pPr>
  </w:style>
  <w:style w:type="character" w:customStyle="1" w:styleId="HeaderChar">
    <w:name w:val="Header Char"/>
    <w:basedOn w:val="DefaultParagraphFont"/>
    <w:link w:val="Header"/>
    <w:rsid w:val="00C16804"/>
    <w:rPr>
      <w:sz w:val="22"/>
      <w:szCs w:val="22"/>
    </w:rPr>
  </w:style>
  <w:style w:type="paragraph" w:styleId="Footer">
    <w:name w:val="footer"/>
    <w:basedOn w:val="Normal"/>
    <w:link w:val="FooterChar"/>
    <w:uiPriority w:val="99"/>
    <w:unhideWhenUsed/>
    <w:rsid w:val="00C16804"/>
    <w:pPr>
      <w:tabs>
        <w:tab w:val="center" w:pos="4680"/>
        <w:tab w:val="right" w:pos="9360"/>
      </w:tabs>
    </w:pPr>
  </w:style>
  <w:style w:type="character" w:customStyle="1" w:styleId="FooterChar">
    <w:name w:val="Footer Char"/>
    <w:basedOn w:val="DefaultParagraphFont"/>
    <w:link w:val="Footer"/>
    <w:uiPriority w:val="99"/>
    <w:rsid w:val="00C16804"/>
    <w:rPr>
      <w:sz w:val="22"/>
      <w:szCs w:val="22"/>
    </w:rPr>
  </w:style>
  <w:style w:type="paragraph" w:styleId="BalloonText">
    <w:name w:val="Balloon Text"/>
    <w:basedOn w:val="Normal"/>
    <w:link w:val="BalloonTextChar"/>
    <w:uiPriority w:val="99"/>
    <w:semiHidden/>
    <w:unhideWhenUsed/>
    <w:rsid w:val="000F0C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0C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96FEA"/>
    <w:pPr>
      <w:widowControl w:val="0"/>
      <w:autoSpaceDE w:val="0"/>
      <w:autoSpaceDN w:val="0"/>
      <w:adjustRightInd w:val="0"/>
    </w:pPr>
    <w:rPr>
      <w:rFonts w:ascii="Arial" w:hAnsi="Arial" w:cs="Arial"/>
      <w:color w:val="000000"/>
      <w:sz w:val="24"/>
      <w:szCs w:val="24"/>
    </w:rPr>
  </w:style>
  <w:style w:type="paragraph" w:styleId="Header">
    <w:name w:val="header"/>
    <w:basedOn w:val="Normal"/>
    <w:link w:val="HeaderChar"/>
    <w:unhideWhenUsed/>
    <w:rsid w:val="00C16804"/>
    <w:pPr>
      <w:tabs>
        <w:tab w:val="center" w:pos="4680"/>
        <w:tab w:val="right" w:pos="9360"/>
      </w:tabs>
    </w:pPr>
  </w:style>
  <w:style w:type="character" w:customStyle="1" w:styleId="HeaderChar">
    <w:name w:val="Header Char"/>
    <w:basedOn w:val="DefaultParagraphFont"/>
    <w:link w:val="Header"/>
    <w:rsid w:val="00C16804"/>
    <w:rPr>
      <w:sz w:val="22"/>
      <w:szCs w:val="22"/>
    </w:rPr>
  </w:style>
  <w:style w:type="paragraph" w:styleId="Footer">
    <w:name w:val="footer"/>
    <w:basedOn w:val="Normal"/>
    <w:link w:val="FooterChar"/>
    <w:uiPriority w:val="99"/>
    <w:unhideWhenUsed/>
    <w:rsid w:val="00C16804"/>
    <w:pPr>
      <w:tabs>
        <w:tab w:val="center" w:pos="4680"/>
        <w:tab w:val="right" w:pos="9360"/>
      </w:tabs>
    </w:pPr>
  </w:style>
  <w:style w:type="character" w:customStyle="1" w:styleId="FooterChar">
    <w:name w:val="Footer Char"/>
    <w:basedOn w:val="DefaultParagraphFont"/>
    <w:link w:val="Footer"/>
    <w:uiPriority w:val="99"/>
    <w:rsid w:val="00C16804"/>
    <w:rPr>
      <w:sz w:val="22"/>
      <w:szCs w:val="22"/>
    </w:rPr>
  </w:style>
  <w:style w:type="paragraph" w:styleId="BalloonText">
    <w:name w:val="Balloon Text"/>
    <w:basedOn w:val="Normal"/>
    <w:link w:val="BalloonTextChar"/>
    <w:uiPriority w:val="99"/>
    <w:semiHidden/>
    <w:unhideWhenUsed/>
    <w:rsid w:val="000F0C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0C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7ED62-C398-4C59-BE01-E072209E3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388</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LAMPIRAN F- PERINGATAN MENGENAI KESALAHAN RASUAH</vt:lpstr>
    </vt:vector>
  </TitlesOfParts>
  <Company>Hewlett-Packard Company</Company>
  <LinksUpToDate>false</LinksUpToDate>
  <CharactersWithSpaces>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LAMPIRAN F- PERINGATAN MENGENAI KESALAHAN RASUAH</dc:title>
  <dc:creator>Valued Acer Customer</dc:creator>
  <cp:lastModifiedBy>USER</cp:lastModifiedBy>
  <cp:revision>4</cp:revision>
  <cp:lastPrinted>2017-04-21T03:23:00Z</cp:lastPrinted>
  <dcterms:created xsi:type="dcterms:W3CDTF">2017-04-17T01:53:00Z</dcterms:created>
  <dcterms:modified xsi:type="dcterms:W3CDTF">2017-04-21T03:23:00Z</dcterms:modified>
</cp:coreProperties>
</file>